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D4" w:rsidRPr="001A31C1" w:rsidRDefault="00C312D4" w:rsidP="00C312D4">
      <w:pPr>
        <w:ind w:firstLineChars="300" w:firstLine="960"/>
        <w:rPr>
          <w:rFonts w:ascii="方正小标宋简体" w:eastAsia="方正小标宋简体" w:hAnsi="Times New Roman" w:cs="Times New Roman"/>
          <w:sz w:val="36"/>
          <w:szCs w:val="44"/>
        </w:rPr>
      </w:pPr>
      <w:bookmarkStart w:id="0" w:name="_GoBack"/>
      <w:r w:rsidRPr="002745FC">
        <w:rPr>
          <w:rFonts w:ascii="黑体" w:eastAsia="黑体" w:hAnsi="Times New Roman" w:cs="Times New Roman" w:hint="eastAsia"/>
          <w:sz w:val="32"/>
          <w:szCs w:val="32"/>
        </w:rPr>
        <w:t xml:space="preserve">附件1 </w:t>
      </w:r>
      <w:r w:rsidRPr="002745FC">
        <w:rPr>
          <w:rFonts w:ascii="方正小标宋简体" w:eastAsia="方正小标宋简体" w:hAnsi="Times New Roman" w:cs="Times New Roman" w:hint="eastAsia"/>
          <w:sz w:val="36"/>
          <w:szCs w:val="44"/>
        </w:rPr>
        <w:t>新乡医学院三全学院各单位固定资产管理考核评分内容及标准</w:t>
      </w:r>
    </w:p>
    <w:bookmarkEnd w:id="0"/>
    <w:p w:rsidR="00C312D4" w:rsidRPr="002745FC" w:rsidRDefault="00C312D4" w:rsidP="00C312D4">
      <w:pPr>
        <w:rPr>
          <w:rFonts w:ascii="黑体" w:eastAsia="黑体" w:hAnsi="Times New Roman" w:cs="Times New Roman"/>
          <w:sz w:val="36"/>
          <w:szCs w:val="32"/>
        </w:rPr>
      </w:pPr>
      <w:r w:rsidRPr="001A31C1">
        <w:rPr>
          <w:rFonts w:ascii="方正小标宋简体" w:eastAsia="方正小标宋简体" w:hAnsi="Times New Roman" w:cs="Times New Roman"/>
          <w:sz w:val="18"/>
          <w:szCs w:val="44"/>
        </w:rPr>
        <w:t>填表部门：</w:t>
      </w:r>
      <w:r w:rsidRPr="001A31C1">
        <w:rPr>
          <w:rFonts w:ascii="方正小标宋简体" w:eastAsia="方正小标宋简体" w:hAnsi="Times New Roman" w:cs="Times New Roman" w:hint="eastAsia"/>
          <w:sz w:val="18"/>
          <w:szCs w:val="44"/>
        </w:rPr>
        <w:t xml:space="preserve"> </w:t>
      </w:r>
      <w:r w:rsidRPr="001A31C1">
        <w:rPr>
          <w:rFonts w:ascii="方正小标宋简体" w:eastAsia="方正小标宋简体" w:hAnsi="Times New Roman" w:cs="Times New Roman"/>
          <w:sz w:val="18"/>
          <w:szCs w:val="44"/>
        </w:rPr>
        <w:t xml:space="preserve">                                              </w:t>
      </w:r>
      <w:r>
        <w:rPr>
          <w:rFonts w:ascii="方正小标宋简体" w:eastAsia="方正小标宋简体" w:hAnsi="Times New Roman" w:cs="Times New Roman"/>
          <w:sz w:val="18"/>
          <w:szCs w:val="44"/>
        </w:rPr>
        <w:t xml:space="preserve">          </w:t>
      </w:r>
      <w:r w:rsidRPr="001A31C1">
        <w:rPr>
          <w:rFonts w:ascii="方正小标宋简体" w:eastAsia="方正小标宋简体" w:hAnsi="Times New Roman" w:cs="Times New Roman"/>
          <w:sz w:val="18"/>
          <w:szCs w:val="44"/>
        </w:rPr>
        <w:t xml:space="preserve">     填表时间：</w:t>
      </w:r>
      <w:r w:rsidRPr="001A31C1">
        <w:rPr>
          <w:rFonts w:ascii="方正小标宋简体" w:eastAsia="方正小标宋简体" w:hAnsi="Times New Roman" w:cs="Times New Roman" w:hint="eastAsia"/>
          <w:sz w:val="18"/>
          <w:szCs w:val="44"/>
        </w:rPr>
        <w:t xml:space="preserve"> </w:t>
      </w:r>
      <w:r w:rsidRPr="001A31C1">
        <w:rPr>
          <w:rFonts w:ascii="方正小标宋简体" w:eastAsia="方正小标宋简体" w:hAnsi="Times New Roman" w:cs="Times New Roman"/>
          <w:sz w:val="18"/>
          <w:szCs w:val="44"/>
        </w:rPr>
        <w:t xml:space="preserve">                                  </w:t>
      </w:r>
      <w:r>
        <w:rPr>
          <w:rFonts w:ascii="方正小标宋简体" w:eastAsia="方正小标宋简体" w:hAnsi="Times New Roman" w:cs="Times New Roman"/>
          <w:sz w:val="18"/>
          <w:szCs w:val="44"/>
        </w:rPr>
        <w:t xml:space="preserve">            </w:t>
      </w:r>
      <w:r w:rsidRPr="001A31C1">
        <w:rPr>
          <w:rFonts w:ascii="方正小标宋简体" w:eastAsia="方正小标宋简体" w:hAnsi="Times New Roman" w:cs="Times New Roman"/>
          <w:sz w:val="18"/>
          <w:szCs w:val="44"/>
        </w:rPr>
        <w:t>填表人：</w:t>
      </w:r>
    </w:p>
    <w:tbl>
      <w:tblPr>
        <w:tblW w:w="0" w:type="auto"/>
        <w:jc w:val="center"/>
        <w:tblLayout w:type="fixed"/>
        <w:tblCellMar>
          <w:left w:w="0" w:type="dxa"/>
          <w:right w:w="0" w:type="dxa"/>
        </w:tblCellMar>
        <w:tblLook w:val="04A0" w:firstRow="1" w:lastRow="0" w:firstColumn="1" w:lastColumn="0" w:noHBand="0" w:noVBand="1"/>
      </w:tblPr>
      <w:tblGrid>
        <w:gridCol w:w="1413"/>
        <w:gridCol w:w="1276"/>
        <w:gridCol w:w="1559"/>
        <w:gridCol w:w="6961"/>
        <w:gridCol w:w="840"/>
        <w:gridCol w:w="1696"/>
      </w:tblGrid>
      <w:tr w:rsidR="00C312D4" w:rsidRPr="002745FC" w:rsidTr="00136C9E">
        <w:trPr>
          <w:trHeight w:val="94"/>
          <w:jc w:val="center"/>
        </w:trPr>
        <w:tc>
          <w:tcPr>
            <w:tcW w:w="1413" w:type="dxa"/>
            <w:tcBorders>
              <w:top w:val="single" w:sz="8" w:space="0" w:color="auto"/>
              <w:left w:val="single" w:sz="8" w:space="0" w:color="auto"/>
              <w:bottom w:val="single" w:sz="8" w:space="0" w:color="auto"/>
              <w:right w:val="single" w:sz="8" w:space="0" w:color="auto"/>
            </w:tcBorders>
            <w:vAlign w:val="center"/>
            <w:hideMark/>
          </w:tcPr>
          <w:p w:rsidR="00C312D4" w:rsidRPr="002745FC" w:rsidRDefault="00C312D4" w:rsidP="00136C9E">
            <w:pPr>
              <w:widowControl/>
              <w:spacing w:line="94" w:lineRule="atLeast"/>
              <w:jc w:val="center"/>
              <w:rPr>
                <w:rFonts w:ascii="Times New Roman" w:eastAsia="仿宋_GB2312" w:hAnsi="Times New Roman" w:cs="Times New Roman"/>
                <w:b/>
                <w:kern w:val="0"/>
                <w:sz w:val="23"/>
                <w:szCs w:val="23"/>
              </w:rPr>
            </w:pPr>
            <w:r w:rsidRPr="002745FC">
              <w:rPr>
                <w:rFonts w:ascii="宋体" w:eastAsia="仿宋_GB2312" w:hAnsi="Times New Roman" w:cs="Times New Roman" w:hint="eastAsia"/>
                <w:b/>
                <w:kern w:val="0"/>
                <w:sz w:val="23"/>
                <w:szCs w:val="23"/>
              </w:rPr>
              <w:t>项目</w:t>
            </w:r>
          </w:p>
        </w:tc>
        <w:tc>
          <w:tcPr>
            <w:tcW w:w="2835" w:type="dxa"/>
            <w:gridSpan w:val="2"/>
            <w:tcBorders>
              <w:top w:val="single" w:sz="8" w:space="0" w:color="auto"/>
              <w:left w:val="nil"/>
              <w:bottom w:val="single" w:sz="8" w:space="0" w:color="auto"/>
              <w:right w:val="single" w:sz="8" w:space="0" w:color="auto"/>
            </w:tcBorders>
            <w:vAlign w:val="center"/>
            <w:hideMark/>
          </w:tcPr>
          <w:p w:rsidR="00C312D4" w:rsidRPr="002745FC" w:rsidRDefault="00C312D4" w:rsidP="00136C9E">
            <w:pPr>
              <w:widowControl/>
              <w:spacing w:line="94" w:lineRule="atLeast"/>
              <w:jc w:val="center"/>
              <w:rPr>
                <w:rFonts w:ascii="Times New Roman" w:eastAsia="仿宋_GB2312" w:hAnsi="Times New Roman" w:cs="Times New Roman"/>
                <w:b/>
                <w:kern w:val="0"/>
                <w:sz w:val="23"/>
                <w:szCs w:val="23"/>
              </w:rPr>
            </w:pPr>
            <w:r w:rsidRPr="002745FC">
              <w:rPr>
                <w:rFonts w:ascii="宋体" w:eastAsia="仿宋_GB2312" w:hAnsi="Times New Roman" w:cs="Times New Roman" w:hint="eastAsia"/>
                <w:b/>
                <w:kern w:val="0"/>
                <w:sz w:val="23"/>
                <w:szCs w:val="23"/>
              </w:rPr>
              <w:t>考核内容</w:t>
            </w:r>
          </w:p>
        </w:tc>
        <w:tc>
          <w:tcPr>
            <w:tcW w:w="6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94" w:lineRule="atLeast"/>
              <w:jc w:val="center"/>
              <w:rPr>
                <w:rFonts w:ascii="Times New Roman" w:eastAsia="仿宋_GB2312" w:hAnsi="Times New Roman" w:cs="Times New Roman"/>
                <w:b/>
                <w:kern w:val="0"/>
                <w:sz w:val="23"/>
                <w:szCs w:val="23"/>
              </w:rPr>
            </w:pPr>
            <w:r w:rsidRPr="002745FC">
              <w:rPr>
                <w:rFonts w:ascii="宋体" w:eastAsia="仿宋_GB2312" w:hAnsi="Times New Roman" w:cs="Times New Roman" w:hint="eastAsia"/>
                <w:b/>
                <w:kern w:val="0"/>
                <w:sz w:val="23"/>
                <w:szCs w:val="23"/>
              </w:rPr>
              <w:t>评分标准</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94" w:lineRule="atLeast"/>
              <w:jc w:val="center"/>
              <w:rPr>
                <w:rFonts w:ascii="Times New Roman" w:eastAsia="仿宋_GB2312" w:hAnsi="Times New Roman" w:cs="Times New Roman"/>
                <w:b/>
                <w:kern w:val="0"/>
                <w:sz w:val="23"/>
                <w:szCs w:val="23"/>
              </w:rPr>
            </w:pPr>
            <w:r w:rsidRPr="002745FC">
              <w:rPr>
                <w:rFonts w:ascii="宋体" w:eastAsia="仿宋_GB2312" w:hAnsi="Times New Roman" w:cs="Times New Roman" w:hint="eastAsia"/>
                <w:b/>
                <w:kern w:val="0"/>
                <w:sz w:val="23"/>
                <w:szCs w:val="23"/>
              </w:rPr>
              <w:t>分值</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94" w:lineRule="atLeast"/>
              <w:jc w:val="center"/>
              <w:rPr>
                <w:rFonts w:ascii="宋体" w:eastAsia="仿宋_GB2312" w:hAnsi="Times New Roman" w:cs="Times New Roman"/>
                <w:b/>
                <w:kern w:val="0"/>
                <w:sz w:val="23"/>
                <w:szCs w:val="23"/>
              </w:rPr>
            </w:pPr>
            <w:r>
              <w:rPr>
                <w:rFonts w:ascii="宋体" w:eastAsia="仿宋_GB2312" w:hAnsi="Times New Roman" w:cs="Times New Roman"/>
                <w:b/>
                <w:kern w:val="0"/>
                <w:sz w:val="23"/>
                <w:szCs w:val="23"/>
              </w:rPr>
              <w:t>自评（得分）</w:t>
            </w:r>
          </w:p>
        </w:tc>
      </w:tr>
      <w:tr w:rsidR="00C312D4" w:rsidRPr="002745FC" w:rsidTr="00136C9E">
        <w:trPr>
          <w:trHeight w:val="460"/>
          <w:jc w:val="center"/>
        </w:trPr>
        <w:tc>
          <w:tcPr>
            <w:tcW w:w="1413" w:type="dxa"/>
            <w:vMerge w:val="restart"/>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基础管理</w:t>
            </w:r>
          </w:p>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w:t>
            </w:r>
            <w:r w:rsidRPr="002745FC">
              <w:rPr>
                <w:rFonts w:ascii="宋体" w:eastAsia="仿宋_GB2312" w:hAnsi="Times New Roman" w:cs="Times New Roman" w:hint="eastAsia"/>
                <w:kern w:val="0"/>
                <w:sz w:val="23"/>
                <w:szCs w:val="23"/>
              </w:rPr>
              <w:t>30</w:t>
            </w:r>
            <w:r w:rsidRPr="002745FC">
              <w:rPr>
                <w:rFonts w:ascii="宋体" w:eastAsia="仿宋_GB2312" w:hAnsi="Times New Roman" w:cs="Times New Roman" w:hint="eastAsia"/>
                <w:kern w:val="0"/>
                <w:sz w:val="23"/>
                <w:szCs w:val="23"/>
              </w:rPr>
              <w:t>分）</w:t>
            </w:r>
          </w:p>
        </w:tc>
        <w:tc>
          <w:tcPr>
            <w:tcW w:w="2835" w:type="dxa"/>
            <w:gridSpan w:val="2"/>
            <w:vMerge w:val="restart"/>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制度执行情况</w:t>
            </w:r>
          </w:p>
        </w:tc>
        <w:tc>
          <w:tcPr>
            <w:tcW w:w="6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严格执行学校有关制度，每年至少进行固定资产清查盘点一次。年内未进行固定资产清查盘点本项不得分。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268"/>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2835" w:type="dxa"/>
            <w:gridSpan w:val="2"/>
            <w:vMerge/>
            <w:tcBorders>
              <w:top w:val="nil"/>
              <w:left w:val="nil"/>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6961" w:type="dxa"/>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重视资产交接，及</w:t>
            </w:r>
            <w:r>
              <w:rPr>
                <w:rFonts w:ascii="宋体" w:eastAsia="仿宋_GB2312" w:hAnsi="Times New Roman" w:cs="Times New Roman" w:hint="eastAsia"/>
                <w:kern w:val="0"/>
                <w:sz w:val="23"/>
                <w:szCs w:val="23"/>
              </w:rPr>
              <w:t>时认真办理资产交接手续和资产管理系统变动操作。保管人调岗等变动，资产系统未作变动，</w:t>
            </w:r>
            <w:r w:rsidRPr="002745FC">
              <w:rPr>
                <w:rFonts w:ascii="宋体" w:eastAsia="仿宋_GB2312" w:hAnsi="Times New Roman" w:cs="Times New Roman" w:hint="eastAsia"/>
                <w:kern w:val="0"/>
                <w:sz w:val="23"/>
                <w:szCs w:val="23"/>
              </w:rPr>
              <w:t>本项不得分。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268"/>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2835" w:type="dxa"/>
            <w:gridSpan w:val="2"/>
            <w:tcBorders>
              <w:top w:val="nil"/>
              <w:left w:val="nil"/>
              <w:bottom w:val="single" w:sz="8" w:space="0" w:color="auto"/>
              <w:right w:val="single" w:sz="8" w:space="0" w:color="auto"/>
            </w:tcBorders>
            <w:vAlign w:val="center"/>
            <w:hideMark/>
          </w:tcPr>
          <w:p w:rsidR="00C312D4" w:rsidRPr="002745FC" w:rsidRDefault="00C312D4" w:rsidP="00136C9E">
            <w:pPr>
              <w:widowControl/>
              <w:rPr>
                <w:rFonts w:ascii="Times New Roman" w:eastAsia="仿宋_GB2312" w:hAnsi="Times New Roman" w:cs="Times New Roman"/>
                <w:kern w:val="0"/>
                <w:sz w:val="23"/>
                <w:szCs w:val="23"/>
              </w:rPr>
            </w:pPr>
            <w:r w:rsidRPr="002745FC">
              <w:rPr>
                <w:rFonts w:ascii="Times New Roman" w:eastAsia="仿宋_GB2312" w:hAnsi="Times New Roman" w:cs="Times New Roman" w:hint="eastAsia"/>
                <w:kern w:val="0"/>
                <w:sz w:val="23"/>
                <w:szCs w:val="23"/>
              </w:rPr>
              <w:t>资产清查工作</w:t>
            </w:r>
          </w:p>
        </w:tc>
        <w:tc>
          <w:tcPr>
            <w:tcW w:w="6961" w:type="dxa"/>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宋体" w:eastAsia="仿宋_GB2312" w:hAnsi="Times New Roman" w:cs="Times New Roman"/>
                <w:kern w:val="0"/>
                <w:sz w:val="23"/>
                <w:szCs w:val="23"/>
              </w:rPr>
            </w:pPr>
            <w:r w:rsidRPr="002745FC">
              <w:rPr>
                <w:rFonts w:ascii="宋体" w:eastAsia="仿宋_GB2312" w:hAnsi="Times New Roman" w:cs="Times New Roman" w:hint="eastAsia"/>
                <w:kern w:val="0"/>
                <w:sz w:val="23"/>
                <w:szCs w:val="23"/>
              </w:rPr>
              <w:t>按照规定时间及时完成得</w:t>
            </w: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分；资产明细账实相符得</w:t>
            </w: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r>
              <w:rPr>
                <w:rFonts w:ascii="宋体" w:eastAsia="仿宋_GB2312" w:hAnsi="Times New Roman" w:cs="Times New Roman" w:hint="eastAsia"/>
                <w:kern w:val="0"/>
                <w:sz w:val="23"/>
                <w:szCs w:val="23"/>
              </w:rPr>
              <w:t>，一件资产不符扣一分</w:t>
            </w:r>
            <w:r w:rsidRPr="002745FC">
              <w:rPr>
                <w:rFonts w:ascii="宋体" w:eastAsia="仿宋_GB2312" w:hAnsi="Times New Roman" w:cs="Times New Roman" w:hint="eastAsia"/>
                <w:kern w:val="0"/>
                <w:sz w:val="23"/>
                <w:szCs w:val="23"/>
              </w:rPr>
              <w:t>。</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r w:rsidRPr="002745FC">
              <w:rPr>
                <w:rFonts w:ascii="宋体" w:eastAsia="仿宋_GB2312" w:hAnsi="Times New Roman" w:cs="Times New Roman" w:hint="eastAsia"/>
                <w:kern w:val="0"/>
                <w:sz w:val="23"/>
                <w:szCs w:val="23"/>
              </w:rPr>
              <w:t>10</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416"/>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管理队伍</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人员保障</w:t>
            </w:r>
          </w:p>
        </w:tc>
        <w:tc>
          <w:tcPr>
            <w:tcW w:w="6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主管资产领导重视资产管理工作、二级资产管理员队伍稳定，</w:t>
            </w:r>
            <w:r>
              <w:rPr>
                <w:rFonts w:ascii="宋体" w:eastAsia="仿宋_GB2312" w:hAnsi="Times New Roman" w:cs="Times New Roman" w:hint="eastAsia"/>
                <w:kern w:val="0"/>
                <w:sz w:val="23"/>
                <w:szCs w:val="23"/>
              </w:rPr>
              <w:t>更换一次资产管理员扣</w:t>
            </w:r>
            <w:r>
              <w:rPr>
                <w:rFonts w:ascii="宋体" w:eastAsia="仿宋_GB2312" w:hAnsi="Times New Roman" w:cs="Times New Roman" w:hint="eastAsia"/>
                <w:kern w:val="0"/>
                <w:sz w:val="23"/>
                <w:szCs w:val="23"/>
              </w:rPr>
              <w:t>2</w:t>
            </w:r>
            <w:r>
              <w:rPr>
                <w:rFonts w:ascii="宋体" w:eastAsia="仿宋_GB2312" w:hAnsi="Times New Roman" w:cs="Times New Roman" w:hint="eastAsia"/>
                <w:kern w:val="0"/>
                <w:sz w:val="23"/>
                <w:szCs w:val="23"/>
              </w:rPr>
              <w:t>分，</w:t>
            </w:r>
            <w:r w:rsidRPr="002745FC">
              <w:rPr>
                <w:rFonts w:ascii="宋体" w:eastAsia="仿宋_GB2312" w:hAnsi="Times New Roman" w:cs="Times New Roman" w:hint="eastAsia"/>
                <w:kern w:val="0"/>
                <w:sz w:val="23"/>
                <w:szCs w:val="23"/>
              </w:rPr>
              <w:t>相关人员熟悉资产管理制度及资产管理系统。</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379"/>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1276" w:type="dxa"/>
            <w:vMerge/>
            <w:tcBorders>
              <w:top w:val="nil"/>
              <w:left w:val="nil"/>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1559" w:type="dxa"/>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岗位职责</w:t>
            </w:r>
          </w:p>
        </w:tc>
        <w:tc>
          <w:tcPr>
            <w:tcW w:w="6961" w:type="dxa"/>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资产管理工作未列入主管领导及二级资产管理员的岗位职责本项不得分。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980"/>
          <w:jc w:val="center"/>
        </w:trPr>
        <w:tc>
          <w:tcPr>
            <w:tcW w:w="1413" w:type="dxa"/>
            <w:vMerge w:val="restart"/>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过程管理</w:t>
            </w:r>
          </w:p>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与</w:t>
            </w:r>
          </w:p>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使用效益</w:t>
            </w:r>
          </w:p>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w:t>
            </w:r>
            <w:r w:rsidRPr="002745FC">
              <w:rPr>
                <w:rFonts w:ascii="宋体" w:eastAsia="仿宋_GB2312" w:hAnsi="Times New Roman" w:cs="Times New Roman" w:hint="eastAsia"/>
                <w:kern w:val="0"/>
                <w:sz w:val="23"/>
                <w:szCs w:val="23"/>
              </w:rPr>
              <w:t>70</w:t>
            </w:r>
            <w:r w:rsidRPr="002745FC">
              <w:rPr>
                <w:rFonts w:ascii="宋体" w:eastAsia="仿宋_GB2312" w:hAnsi="Times New Roman" w:cs="Times New Roman" w:hint="eastAsia"/>
                <w:kern w:val="0"/>
                <w:sz w:val="23"/>
                <w:szCs w:val="23"/>
              </w:rPr>
              <w:t>分）</w:t>
            </w:r>
          </w:p>
        </w:tc>
        <w:tc>
          <w:tcPr>
            <w:tcW w:w="2835" w:type="dxa"/>
            <w:gridSpan w:val="2"/>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账、卡、物相符率</w:t>
            </w:r>
          </w:p>
        </w:tc>
        <w:tc>
          <w:tcPr>
            <w:tcW w:w="6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按规范程序入账并粘贴条形码，账物签相符率达到</w:t>
            </w:r>
            <w:r w:rsidRPr="002745FC">
              <w:rPr>
                <w:rFonts w:ascii="宋体" w:eastAsia="仿宋_GB2312" w:hAnsi="Times New Roman" w:cs="Times New Roman" w:hint="eastAsia"/>
                <w:kern w:val="0"/>
                <w:sz w:val="23"/>
                <w:szCs w:val="23"/>
              </w:rPr>
              <w:t>100</w:t>
            </w:r>
            <w:r w:rsidRPr="002745FC">
              <w:rPr>
                <w:rFonts w:ascii="宋体" w:eastAsia="仿宋_GB2312" w:hAnsi="Times New Roman" w:cs="Times New Roman" w:hint="eastAsia"/>
                <w:kern w:val="0"/>
                <w:sz w:val="23"/>
                <w:szCs w:val="23"/>
              </w:rPr>
              <w:t>％。随机抽取</w:t>
            </w: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个资产编码和</w:t>
            </w: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个实物，实地核对</w:t>
            </w:r>
            <w:r w:rsidRPr="002745FC">
              <w:rPr>
                <w:rFonts w:ascii="宋体" w:eastAsia="仿宋_GB2312" w:hAnsi="Times New Roman" w:cs="Times New Roman" w:hint="eastAsia"/>
                <w:color w:val="000000"/>
                <w:kern w:val="0"/>
                <w:sz w:val="23"/>
                <w:szCs w:val="23"/>
              </w:rPr>
              <w:t>（每个实训中心另需分别随机抽取</w:t>
            </w:r>
            <w:r w:rsidRPr="002745FC">
              <w:rPr>
                <w:rFonts w:ascii="宋体" w:eastAsia="仿宋_GB2312" w:hAnsi="Times New Roman" w:cs="Times New Roman" w:hint="eastAsia"/>
                <w:color w:val="000000"/>
                <w:kern w:val="0"/>
                <w:sz w:val="23"/>
                <w:szCs w:val="23"/>
              </w:rPr>
              <w:t>5</w:t>
            </w:r>
            <w:r w:rsidRPr="002745FC">
              <w:rPr>
                <w:rFonts w:ascii="宋体" w:eastAsia="仿宋_GB2312" w:hAnsi="Times New Roman" w:cs="Times New Roman" w:hint="eastAsia"/>
                <w:color w:val="000000"/>
                <w:kern w:val="0"/>
                <w:sz w:val="23"/>
                <w:szCs w:val="23"/>
              </w:rPr>
              <w:t>个资产编码和</w:t>
            </w:r>
            <w:r w:rsidRPr="002745FC">
              <w:rPr>
                <w:rFonts w:ascii="宋体" w:eastAsia="仿宋_GB2312" w:hAnsi="Times New Roman" w:cs="Times New Roman" w:hint="eastAsia"/>
                <w:color w:val="000000"/>
                <w:kern w:val="0"/>
                <w:sz w:val="23"/>
                <w:szCs w:val="23"/>
              </w:rPr>
              <w:t>5</w:t>
            </w:r>
            <w:r w:rsidRPr="002745FC">
              <w:rPr>
                <w:rFonts w:ascii="宋体" w:eastAsia="仿宋_GB2312" w:hAnsi="Times New Roman" w:cs="Times New Roman" w:hint="eastAsia"/>
                <w:color w:val="000000"/>
                <w:kern w:val="0"/>
                <w:sz w:val="23"/>
                <w:szCs w:val="23"/>
              </w:rPr>
              <w:t>个实物）：无差错得</w:t>
            </w:r>
            <w:r w:rsidRPr="002745FC">
              <w:rPr>
                <w:rFonts w:ascii="宋体" w:eastAsia="仿宋_GB2312" w:hAnsi="Times New Roman" w:cs="Times New Roman" w:hint="eastAsia"/>
                <w:color w:val="000000"/>
                <w:kern w:val="0"/>
                <w:sz w:val="23"/>
                <w:szCs w:val="23"/>
              </w:rPr>
              <w:t>15</w:t>
            </w:r>
            <w:r w:rsidRPr="002745FC">
              <w:rPr>
                <w:rFonts w:ascii="宋体" w:eastAsia="仿宋_GB2312" w:hAnsi="Times New Roman" w:cs="Times New Roman" w:hint="eastAsia"/>
                <w:color w:val="000000"/>
                <w:kern w:val="0"/>
                <w:sz w:val="23"/>
                <w:szCs w:val="23"/>
              </w:rPr>
              <w:t>分，正确率≥</w:t>
            </w:r>
            <w:r w:rsidRPr="002745FC">
              <w:rPr>
                <w:rFonts w:ascii="宋体" w:eastAsia="仿宋_GB2312" w:hAnsi="Times New Roman" w:cs="Times New Roman" w:hint="eastAsia"/>
                <w:color w:val="000000"/>
                <w:kern w:val="0"/>
                <w:sz w:val="23"/>
                <w:szCs w:val="23"/>
              </w:rPr>
              <w:t>90%</w:t>
            </w:r>
            <w:r w:rsidRPr="002745FC">
              <w:rPr>
                <w:rFonts w:ascii="宋体" w:eastAsia="仿宋_GB2312" w:hAnsi="Times New Roman" w:cs="Times New Roman" w:hint="eastAsia"/>
                <w:color w:val="000000"/>
                <w:kern w:val="0"/>
                <w:sz w:val="23"/>
                <w:szCs w:val="23"/>
              </w:rPr>
              <w:t>得</w:t>
            </w:r>
            <w:r w:rsidRPr="002745FC">
              <w:rPr>
                <w:rFonts w:ascii="宋体" w:eastAsia="仿宋_GB2312" w:hAnsi="Times New Roman" w:cs="Times New Roman" w:hint="eastAsia"/>
                <w:color w:val="000000"/>
                <w:kern w:val="0"/>
                <w:sz w:val="23"/>
                <w:szCs w:val="23"/>
              </w:rPr>
              <w:t>10</w:t>
            </w:r>
            <w:r w:rsidRPr="002745FC">
              <w:rPr>
                <w:rFonts w:ascii="宋体" w:eastAsia="仿宋_GB2312" w:hAnsi="Times New Roman" w:cs="Times New Roman" w:hint="eastAsia"/>
                <w:color w:val="000000"/>
                <w:kern w:val="0"/>
                <w:sz w:val="23"/>
                <w:szCs w:val="23"/>
              </w:rPr>
              <w:t>分，正确率≥</w:t>
            </w:r>
            <w:r w:rsidRPr="002745FC">
              <w:rPr>
                <w:rFonts w:ascii="宋体" w:eastAsia="仿宋_GB2312" w:hAnsi="Times New Roman" w:cs="Times New Roman" w:hint="eastAsia"/>
                <w:color w:val="000000"/>
                <w:kern w:val="0"/>
                <w:sz w:val="23"/>
                <w:szCs w:val="23"/>
              </w:rPr>
              <w:t>80</w:t>
            </w:r>
            <w:r w:rsidRPr="002745FC">
              <w:rPr>
                <w:rFonts w:ascii="宋体" w:eastAsia="仿宋_GB2312" w:hAnsi="Times New Roman" w:cs="Times New Roman" w:hint="eastAsia"/>
                <w:kern w:val="0"/>
                <w:sz w:val="23"/>
                <w:szCs w:val="23"/>
              </w:rPr>
              <w:t>%</w:t>
            </w:r>
            <w:r w:rsidRPr="002745FC">
              <w:rPr>
                <w:rFonts w:ascii="宋体" w:eastAsia="仿宋_GB2312" w:hAnsi="Times New Roman" w:cs="Times New Roman" w:hint="eastAsia"/>
                <w:kern w:val="0"/>
                <w:sz w:val="23"/>
                <w:szCs w:val="23"/>
              </w:rPr>
              <w:t>得</w:t>
            </w: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分，正确率低于</w:t>
            </w:r>
            <w:r w:rsidRPr="002745FC">
              <w:rPr>
                <w:rFonts w:ascii="宋体" w:eastAsia="仿宋_GB2312" w:hAnsi="Times New Roman" w:cs="Times New Roman" w:hint="eastAsia"/>
                <w:kern w:val="0"/>
                <w:sz w:val="23"/>
                <w:szCs w:val="23"/>
              </w:rPr>
              <w:t>80%</w:t>
            </w:r>
            <w:r w:rsidRPr="002745FC">
              <w:rPr>
                <w:rFonts w:ascii="宋体" w:eastAsia="仿宋_GB2312" w:hAnsi="Times New Roman" w:cs="Times New Roman" w:hint="eastAsia"/>
                <w:kern w:val="0"/>
                <w:sz w:val="23"/>
                <w:szCs w:val="23"/>
              </w:rPr>
              <w:t>不得分。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kern w:val="0"/>
                <w:sz w:val="23"/>
                <w:szCs w:val="23"/>
              </w:rPr>
              <w:t> </w:t>
            </w:r>
            <w:r w:rsidRPr="002745FC">
              <w:rPr>
                <w:rFonts w:ascii="宋体" w:eastAsia="仿宋_GB2312" w:hAnsi="Times New Roman" w:cs="Times New Roman" w:hint="eastAsia"/>
                <w:kern w:val="0"/>
                <w:sz w:val="23"/>
                <w:szCs w:val="23"/>
              </w:rPr>
              <w:t>15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478"/>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2835" w:type="dxa"/>
            <w:gridSpan w:val="2"/>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Pr>
                <w:rFonts w:ascii="宋体" w:eastAsia="仿宋_GB2312" w:hAnsi="Times New Roman" w:cs="Times New Roman" w:hint="eastAsia"/>
                <w:kern w:val="0"/>
                <w:sz w:val="23"/>
                <w:szCs w:val="23"/>
              </w:rPr>
              <w:t>及时办理新增资产验收登记</w:t>
            </w:r>
          </w:p>
        </w:tc>
        <w:tc>
          <w:tcPr>
            <w:tcW w:w="6961" w:type="dxa"/>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Pr>
                <w:rFonts w:ascii="宋体" w:eastAsia="仿宋_GB2312" w:hAnsi="Times New Roman" w:cs="Times New Roman" w:hint="eastAsia"/>
                <w:kern w:val="0"/>
                <w:sz w:val="23"/>
                <w:szCs w:val="23"/>
              </w:rPr>
              <w:t>到货后</w:t>
            </w:r>
            <w:r>
              <w:rPr>
                <w:rFonts w:ascii="宋体" w:eastAsia="仿宋_GB2312" w:hAnsi="Times New Roman" w:cs="Times New Roman" w:hint="eastAsia"/>
                <w:kern w:val="0"/>
                <w:sz w:val="23"/>
                <w:szCs w:val="23"/>
              </w:rPr>
              <w:t>1</w:t>
            </w:r>
            <w:r>
              <w:rPr>
                <w:rFonts w:ascii="宋体" w:eastAsia="仿宋_GB2312" w:hAnsi="Times New Roman" w:cs="Times New Roman"/>
                <w:kern w:val="0"/>
                <w:sz w:val="23"/>
                <w:szCs w:val="23"/>
              </w:rPr>
              <w:t>0</w:t>
            </w:r>
            <w:r>
              <w:rPr>
                <w:rFonts w:ascii="宋体" w:eastAsia="仿宋_GB2312" w:hAnsi="Times New Roman" w:cs="Times New Roman"/>
                <w:kern w:val="0"/>
                <w:sz w:val="23"/>
                <w:szCs w:val="23"/>
              </w:rPr>
              <w:t>个工作日进行验收申请，逾期一次扣</w:t>
            </w:r>
            <w:r>
              <w:rPr>
                <w:rFonts w:ascii="宋体" w:eastAsia="仿宋_GB2312" w:hAnsi="Times New Roman" w:cs="Times New Roman" w:hint="eastAsia"/>
                <w:kern w:val="0"/>
                <w:sz w:val="23"/>
                <w:szCs w:val="23"/>
              </w:rPr>
              <w:t>2</w:t>
            </w:r>
            <w:r>
              <w:rPr>
                <w:rFonts w:ascii="宋体" w:eastAsia="仿宋_GB2312" w:hAnsi="Times New Roman" w:cs="Times New Roman" w:hint="eastAsia"/>
                <w:kern w:val="0"/>
                <w:sz w:val="23"/>
                <w:szCs w:val="23"/>
              </w:rPr>
              <w:t>分。验收单填写错误或材料不齐全一次扣</w:t>
            </w:r>
            <w:r>
              <w:rPr>
                <w:rFonts w:ascii="宋体" w:eastAsia="仿宋_GB2312" w:hAnsi="Times New Roman" w:cs="Times New Roman" w:hint="eastAsia"/>
                <w:kern w:val="0"/>
                <w:sz w:val="23"/>
                <w:szCs w:val="23"/>
              </w:rPr>
              <w:t>2</w:t>
            </w:r>
            <w:r>
              <w:rPr>
                <w:rFonts w:ascii="宋体" w:eastAsia="仿宋_GB2312" w:hAnsi="Times New Roman" w:cs="Times New Roman" w:hint="eastAsia"/>
                <w:kern w:val="0"/>
                <w:sz w:val="23"/>
                <w:szCs w:val="23"/>
              </w:rPr>
              <w:t>分。验收完成后五个工作日未办理新增资产登记一次扣</w:t>
            </w:r>
            <w:r>
              <w:rPr>
                <w:rFonts w:ascii="宋体" w:eastAsia="仿宋_GB2312" w:hAnsi="Times New Roman" w:cs="Times New Roman" w:hint="eastAsia"/>
                <w:kern w:val="0"/>
                <w:sz w:val="23"/>
                <w:szCs w:val="23"/>
              </w:rPr>
              <w:t>2</w:t>
            </w:r>
            <w:r>
              <w:rPr>
                <w:rFonts w:ascii="宋体" w:eastAsia="仿宋_GB2312" w:hAnsi="Times New Roman" w:cs="Times New Roman" w:hint="eastAsia"/>
                <w:kern w:val="0"/>
                <w:sz w:val="23"/>
                <w:szCs w:val="23"/>
              </w:rPr>
              <w:t>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Pr>
                <w:rFonts w:ascii="宋体" w:eastAsia="仿宋_GB2312" w:hAnsi="Times New Roman" w:cs="Times New Roman"/>
                <w:kern w:val="0"/>
                <w:sz w:val="23"/>
                <w:szCs w:val="23"/>
              </w:rPr>
              <w:t>10</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70"/>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2835" w:type="dxa"/>
            <w:gridSpan w:val="2"/>
            <w:tcBorders>
              <w:top w:val="nil"/>
              <w:left w:val="nil"/>
              <w:bottom w:val="single" w:sz="8" w:space="0" w:color="auto"/>
              <w:right w:val="single" w:sz="8" w:space="0" w:color="auto"/>
            </w:tcBorders>
            <w:vAlign w:val="center"/>
            <w:hideMark/>
          </w:tcPr>
          <w:p w:rsidR="00C312D4" w:rsidRPr="002745FC" w:rsidRDefault="00C312D4" w:rsidP="00136C9E">
            <w:pPr>
              <w:widowControl/>
              <w:spacing w:line="7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使用记录</w:t>
            </w:r>
          </w:p>
        </w:tc>
        <w:tc>
          <w:tcPr>
            <w:tcW w:w="6961" w:type="dxa"/>
            <w:tcBorders>
              <w:top w:val="nil"/>
              <w:left w:val="nil"/>
              <w:bottom w:val="single" w:sz="8" w:space="0" w:color="auto"/>
              <w:right w:val="single" w:sz="8" w:space="0" w:color="auto"/>
            </w:tcBorders>
            <w:vAlign w:val="center"/>
            <w:hideMark/>
          </w:tcPr>
          <w:p w:rsidR="00C312D4" w:rsidRPr="002745FC" w:rsidRDefault="00C312D4" w:rsidP="00136C9E">
            <w:pPr>
              <w:widowControl/>
              <w:spacing w:line="70" w:lineRule="atLeast"/>
              <w:rPr>
                <w:rFonts w:ascii="Times New Roman" w:eastAsia="仿宋_GB2312" w:hAnsi="Times New Roman" w:cs="Times New Roman"/>
                <w:kern w:val="0"/>
                <w:sz w:val="23"/>
                <w:szCs w:val="23"/>
              </w:rPr>
            </w:pPr>
            <w:r>
              <w:rPr>
                <w:rFonts w:ascii="宋体" w:eastAsia="仿宋_GB2312" w:hAnsi="Times New Roman" w:cs="Times New Roman" w:hint="eastAsia"/>
                <w:kern w:val="0"/>
                <w:sz w:val="23"/>
                <w:szCs w:val="23"/>
              </w:rPr>
              <w:t>院（部）设备</w:t>
            </w:r>
            <w:r w:rsidRPr="002745FC">
              <w:rPr>
                <w:rFonts w:ascii="宋体" w:eastAsia="仿宋_GB2312" w:hAnsi="Times New Roman" w:cs="Times New Roman" w:hint="eastAsia"/>
                <w:kern w:val="0"/>
                <w:sz w:val="23"/>
                <w:szCs w:val="23"/>
              </w:rPr>
              <w:t>使用记录不完整扣</w:t>
            </w:r>
            <w:r w:rsidRPr="002745FC">
              <w:rPr>
                <w:rFonts w:ascii="宋体" w:eastAsia="仿宋_GB2312" w:hAnsi="Times New Roman" w:cs="Times New Roman" w:hint="eastAsia"/>
                <w:kern w:val="0"/>
                <w:sz w:val="23"/>
                <w:szCs w:val="23"/>
              </w:rPr>
              <w:t>1</w:t>
            </w:r>
            <w:r w:rsidRPr="002745FC">
              <w:rPr>
                <w:rFonts w:ascii="宋体" w:eastAsia="仿宋_GB2312" w:hAnsi="Times New Roman" w:cs="Times New Roman" w:hint="eastAsia"/>
                <w:kern w:val="0"/>
                <w:sz w:val="23"/>
                <w:szCs w:val="23"/>
              </w:rPr>
              <w:t>分；记录不及时、不规范扣</w:t>
            </w:r>
            <w:r w:rsidRPr="002745FC">
              <w:rPr>
                <w:rFonts w:ascii="宋体" w:eastAsia="仿宋_GB2312" w:hAnsi="Times New Roman" w:cs="Times New Roman" w:hint="eastAsia"/>
                <w:kern w:val="0"/>
                <w:sz w:val="23"/>
                <w:szCs w:val="23"/>
              </w:rPr>
              <w:t>0.5</w:t>
            </w:r>
            <w:r w:rsidRPr="002745FC">
              <w:rPr>
                <w:rFonts w:ascii="宋体" w:eastAsia="仿宋_GB2312" w:hAnsi="Times New Roman" w:cs="Times New Roman" w:hint="eastAsia"/>
                <w:kern w:val="0"/>
                <w:sz w:val="23"/>
                <w:szCs w:val="23"/>
              </w:rPr>
              <w:t>分；固定资产的出租出借未按学校规定办理有关手续扣</w:t>
            </w:r>
            <w:r w:rsidRPr="002745FC">
              <w:rPr>
                <w:rFonts w:ascii="宋体" w:eastAsia="仿宋_GB2312" w:hAnsi="Times New Roman" w:cs="Times New Roman" w:hint="eastAsia"/>
                <w:kern w:val="0"/>
                <w:sz w:val="23"/>
                <w:szCs w:val="23"/>
              </w:rPr>
              <w:t>2</w:t>
            </w:r>
            <w:r w:rsidRPr="002745FC">
              <w:rPr>
                <w:rFonts w:ascii="宋体" w:eastAsia="仿宋_GB2312" w:hAnsi="Times New Roman" w:cs="Times New Roman" w:hint="eastAsia"/>
                <w:kern w:val="0"/>
                <w:sz w:val="23"/>
                <w:szCs w:val="23"/>
              </w:rPr>
              <w:t>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7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70" w:lineRule="atLeast"/>
              <w:jc w:val="center"/>
              <w:rPr>
                <w:rFonts w:ascii="宋体" w:eastAsia="仿宋_GB2312" w:hAnsi="Times New Roman" w:cs="Times New Roman"/>
                <w:kern w:val="0"/>
                <w:sz w:val="23"/>
                <w:szCs w:val="23"/>
              </w:rPr>
            </w:pPr>
          </w:p>
        </w:tc>
      </w:tr>
      <w:tr w:rsidR="00C312D4" w:rsidRPr="002745FC" w:rsidTr="00136C9E">
        <w:trPr>
          <w:trHeight w:val="601"/>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1276" w:type="dxa"/>
            <w:vMerge w:val="restart"/>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设备完好</w:t>
            </w:r>
          </w:p>
        </w:tc>
        <w:tc>
          <w:tcPr>
            <w:tcW w:w="1559" w:type="dxa"/>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维保维修</w:t>
            </w:r>
          </w:p>
        </w:tc>
        <w:tc>
          <w:tcPr>
            <w:tcW w:w="6961" w:type="dxa"/>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spacing w:val="-8"/>
                <w:kern w:val="0"/>
                <w:sz w:val="23"/>
                <w:szCs w:val="23"/>
              </w:rPr>
              <w:t>维护、保养记录不完整扣</w:t>
            </w:r>
            <w:r w:rsidRPr="002745FC">
              <w:rPr>
                <w:rFonts w:ascii="宋体" w:eastAsia="仿宋_GB2312" w:hAnsi="Times New Roman" w:cs="Times New Roman" w:hint="eastAsia"/>
                <w:spacing w:val="-8"/>
                <w:kern w:val="0"/>
                <w:sz w:val="23"/>
                <w:szCs w:val="23"/>
              </w:rPr>
              <w:t>1</w:t>
            </w:r>
            <w:r w:rsidRPr="002745FC">
              <w:rPr>
                <w:rFonts w:ascii="宋体" w:eastAsia="仿宋_GB2312" w:hAnsi="Times New Roman" w:cs="Times New Roman" w:hint="eastAsia"/>
                <w:spacing w:val="-8"/>
                <w:kern w:val="0"/>
                <w:sz w:val="23"/>
                <w:szCs w:val="23"/>
              </w:rPr>
              <w:t>分；大型仪器设备无专人操做管理和无定期维护保养扣</w:t>
            </w:r>
            <w:r w:rsidRPr="002745FC">
              <w:rPr>
                <w:rFonts w:ascii="宋体" w:eastAsia="仿宋_GB2312" w:hAnsi="Times New Roman" w:cs="Times New Roman" w:hint="eastAsia"/>
                <w:spacing w:val="-8"/>
                <w:kern w:val="0"/>
                <w:sz w:val="23"/>
                <w:szCs w:val="23"/>
              </w:rPr>
              <w:t>1</w:t>
            </w:r>
            <w:r w:rsidRPr="002745FC">
              <w:rPr>
                <w:rFonts w:ascii="宋体" w:eastAsia="仿宋_GB2312" w:hAnsi="Times New Roman" w:cs="Times New Roman" w:hint="eastAsia"/>
                <w:spacing w:val="-8"/>
                <w:kern w:val="0"/>
                <w:sz w:val="23"/>
                <w:szCs w:val="23"/>
              </w:rPr>
              <w:t>分；报修不及时影响教学不得分；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476"/>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1276" w:type="dxa"/>
            <w:vMerge/>
            <w:tcBorders>
              <w:top w:val="nil"/>
              <w:left w:val="nil"/>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完好情况</w:t>
            </w:r>
          </w:p>
        </w:tc>
        <w:tc>
          <w:tcPr>
            <w:tcW w:w="6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人为操作导致设备故障扣</w:t>
            </w: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r w:rsidRPr="002745FC">
              <w:rPr>
                <w:rFonts w:ascii="宋体" w:eastAsia="仿宋_GB2312" w:hAnsi="Times New Roman" w:cs="Times New Roman"/>
                <w:kern w:val="0"/>
                <w:sz w:val="23"/>
                <w:szCs w:val="24"/>
              </w:rPr>
              <w:t> </w:t>
            </w:r>
            <w:r w:rsidRPr="002745FC">
              <w:rPr>
                <w:rFonts w:ascii="宋体" w:eastAsia="仿宋_GB2312" w:hAnsi="Times New Roman" w:cs="Times New Roman" w:hint="eastAsia"/>
                <w:spacing w:val="-8"/>
                <w:kern w:val="0"/>
                <w:sz w:val="23"/>
                <w:szCs w:val="23"/>
              </w:rPr>
              <w:t>完好设备标准：</w:t>
            </w:r>
            <w:r w:rsidRPr="002745FC">
              <w:rPr>
                <w:rFonts w:ascii="宋体" w:eastAsia="仿宋_GB2312" w:hAnsi="Times New Roman" w:cs="Times New Roman" w:hint="eastAsia"/>
                <w:spacing w:val="-8"/>
                <w:kern w:val="0"/>
                <w:sz w:val="23"/>
                <w:szCs w:val="23"/>
              </w:rPr>
              <w:t>1</w:t>
            </w:r>
            <w:r w:rsidRPr="002745FC">
              <w:rPr>
                <w:rFonts w:ascii="宋体" w:eastAsia="仿宋_GB2312" w:hAnsi="Times New Roman" w:cs="Times New Roman" w:hint="eastAsia"/>
                <w:spacing w:val="-8"/>
                <w:kern w:val="0"/>
                <w:sz w:val="23"/>
                <w:szCs w:val="23"/>
              </w:rPr>
              <w:t>、设备运转正常，零部件齐全，安全防护装置良好，磨损、腐蚀、温度等不超过规定的标准，控制系统、计量仪器、仪表和润滑系统工作正常，设备运转无超温超压现象。</w:t>
            </w:r>
            <w:r w:rsidRPr="002745FC">
              <w:rPr>
                <w:rFonts w:ascii="宋体" w:eastAsia="仿宋_GB2312" w:hAnsi="Times New Roman" w:cs="Times New Roman" w:hint="eastAsia"/>
                <w:spacing w:val="-8"/>
                <w:kern w:val="0"/>
                <w:sz w:val="23"/>
                <w:szCs w:val="23"/>
              </w:rPr>
              <w:t>2</w:t>
            </w:r>
            <w:r w:rsidRPr="002745FC">
              <w:rPr>
                <w:rFonts w:ascii="宋体" w:eastAsia="仿宋_GB2312" w:hAnsi="Times New Roman" w:cs="Times New Roman" w:hint="eastAsia"/>
                <w:spacing w:val="-8"/>
                <w:kern w:val="0"/>
                <w:sz w:val="23"/>
                <w:szCs w:val="23"/>
              </w:rPr>
              <w:t>、设备性能良好，精度、性能达到设计要求或实验要求。</w:t>
            </w:r>
            <w:r w:rsidRPr="002745FC">
              <w:rPr>
                <w:rFonts w:ascii="宋体" w:eastAsia="仿宋_GB2312" w:hAnsi="Times New Roman" w:cs="Times New Roman" w:hint="eastAsia"/>
                <w:spacing w:val="-8"/>
                <w:kern w:val="0"/>
                <w:sz w:val="23"/>
                <w:szCs w:val="23"/>
              </w:rPr>
              <w:t>3</w:t>
            </w:r>
            <w:r w:rsidRPr="002745FC">
              <w:rPr>
                <w:rFonts w:ascii="宋体" w:eastAsia="仿宋_GB2312" w:hAnsi="Times New Roman" w:cs="Times New Roman" w:hint="eastAsia"/>
                <w:spacing w:val="-8"/>
                <w:kern w:val="0"/>
                <w:sz w:val="23"/>
                <w:szCs w:val="23"/>
              </w:rPr>
              <w:t>、原料、燃料、油料等消耗正常，没有油、水、汽、电的泄漏现象，外表清洁整齐。</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Pr>
                <w:rFonts w:ascii="宋体" w:eastAsia="仿宋_GB2312" w:hAnsi="Times New Roman" w:cs="Times New Roman"/>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70"/>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2835" w:type="dxa"/>
            <w:gridSpan w:val="2"/>
            <w:tcBorders>
              <w:top w:val="nil"/>
              <w:left w:val="nil"/>
              <w:bottom w:val="single" w:sz="8" w:space="0" w:color="auto"/>
              <w:right w:val="single" w:sz="8" w:space="0" w:color="auto"/>
            </w:tcBorders>
            <w:vAlign w:val="center"/>
            <w:hideMark/>
          </w:tcPr>
          <w:p w:rsidR="00C312D4" w:rsidRPr="002745FC" w:rsidRDefault="00C312D4" w:rsidP="00136C9E">
            <w:pPr>
              <w:widowControl/>
              <w:spacing w:line="7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利用率</w:t>
            </w:r>
          </w:p>
        </w:tc>
        <w:tc>
          <w:tcPr>
            <w:tcW w:w="6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70" w:lineRule="atLeast"/>
              <w:rPr>
                <w:rFonts w:ascii="Times New Roman" w:eastAsia="仿宋_GB2312" w:hAnsi="Times New Roman" w:cs="Times New Roman"/>
                <w:kern w:val="0"/>
                <w:sz w:val="23"/>
                <w:szCs w:val="23"/>
              </w:rPr>
            </w:pPr>
            <w:r>
              <w:rPr>
                <w:rFonts w:ascii="宋体" w:eastAsia="仿宋_GB2312" w:hAnsi="Times New Roman" w:cs="Times New Roman" w:hint="eastAsia"/>
                <w:kern w:val="0"/>
                <w:sz w:val="23"/>
                <w:szCs w:val="23"/>
              </w:rPr>
              <w:t>院（部）</w:t>
            </w:r>
            <w:r w:rsidRPr="002745FC">
              <w:rPr>
                <w:rFonts w:ascii="宋体" w:eastAsia="仿宋_GB2312" w:hAnsi="Times New Roman" w:cs="Times New Roman" w:hint="eastAsia"/>
                <w:kern w:val="0"/>
                <w:sz w:val="23"/>
                <w:szCs w:val="23"/>
              </w:rPr>
              <w:t>仪器设备利用率低于</w:t>
            </w:r>
            <w:r w:rsidRPr="002745FC">
              <w:rPr>
                <w:rFonts w:ascii="宋体" w:eastAsia="仿宋_GB2312" w:hAnsi="Times New Roman" w:cs="Times New Roman" w:hint="eastAsia"/>
                <w:kern w:val="0"/>
                <w:sz w:val="23"/>
                <w:szCs w:val="23"/>
              </w:rPr>
              <w:t>90%</w:t>
            </w:r>
            <w:r>
              <w:rPr>
                <w:rFonts w:ascii="宋体" w:eastAsia="仿宋_GB2312" w:hAnsi="Times New Roman" w:cs="Times New Roman" w:hint="eastAsia"/>
                <w:kern w:val="0"/>
                <w:sz w:val="23"/>
                <w:szCs w:val="23"/>
              </w:rPr>
              <w:t>，</w:t>
            </w:r>
            <w:r w:rsidRPr="002745FC">
              <w:rPr>
                <w:rFonts w:ascii="宋体" w:eastAsia="仿宋_GB2312" w:hAnsi="Times New Roman" w:cs="Times New Roman" w:hint="eastAsia"/>
                <w:kern w:val="0"/>
                <w:sz w:val="23"/>
                <w:szCs w:val="23"/>
              </w:rPr>
              <w:t>一台扣</w:t>
            </w:r>
            <w:r w:rsidRPr="002745FC">
              <w:rPr>
                <w:rFonts w:ascii="宋体" w:eastAsia="仿宋_GB2312" w:hAnsi="Times New Roman" w:cs="Times New Roman" w:hint="eastAsia"/>
                <w:kern w:val="0"/>
                <w:sz w:val="23"/>
                <w:szCs w:val="23"/>
              </w:rPr>
              <w:t>5</w:t>
            </w:r>
            <w:r w:rsidRPr="002745FC">
              <w:rPr>
                <w:rFonts w:ascii="宋体" w:eastAsia="仿宋_GB2312" w:hAnsi="Times New Roman" w:cs="Times New Roman" w:hint="eastAsia"/>
                <w:kern w:val="0"/>
                <w:sz w:val="23"/>
                <w:szCs w:val="23"/>
              </w:rPr>
              <w:t>分。</w:t>
            </w:r>
            <w:r>
              <w:rPr>
                <w:rFonts w:ascii="宋体" w:eastAsia="仿宋_GB2312" w:hAnsi="Times New Roman" w:cs="Times New Roman" w:hint="eastAsia"/>
                <w:kern w:val="0"/>
                <w:sz w:val="23"/>
                <w:szCs w:val="23"/>
              </w:rPr>
              <w:t>存在闲置（依据</w:t>
            </w:r>
            <w:r>
              <w:rPr>
                <w:rFonts w:ascii="宋体" w:eastAsia="仿宋_GB2312" w:hAnsi="Times New Roman" w:cs="Times New Roman" w:hint="eastAsia"/>
                <w:kern w:val="0"/>
                <w:sz w:val="23"/>
                <w:szCs w:val="23"/>
              </w:rPr>
              <w:t>2</w:t>
            </w:r>
            <w:r>
              <w:rPr>
                <w:rFonts w:ascii="宋体" w:eastAsia="仿宋_GB2312" w:hAnsi="Times New Roman" w:cs="Times New Roman"/>
                <w:kern w:val="0"/>
                <w:sz w:val="23"/>
                <w:szCs w:val="23"/>
              </w:rPr>
              <w:t>022</w:t>
            </w:r>
            <w:r>
              <w:rPr>
                <w:rFonts w:ascii="宋体" w:eastAsia="仿宋_GB2312" w:hAnsi="Times New Roman" w:cs="Times New Roman"/>
                <w:kern w:val="0"/>
                <w:sz w:val="23"/>
                <w:szCs w:val="23"/>
              </w:rPr>
              <w:t>年度资产清查自查报告闲置资产）</w:t>
            </w:r>
            <w:r>
              <w:rPr>
                <w:rFonts w:ascii="宋体" w:eastAsia="仿宋_GB2312" w:hAnsi="Times New Roman" w:cs="Times New Roman" w:hint="eastAsia"/>
                <w:kern w:val="0"/>
                <w:sz w:val="23"/>
                <w:szCs w:val="23"/>
              </w:rPr>
              <w:t>资产未及时办理退库一件扣</w:t>
            </w:r>
            <w:r>
              <w:rPr>
                <w:rFonts w:ascii="宋体" w:eastAsia="仿宋_GB2312" w:hAnsi="Times New Roman" w:cs="Times New Roman" w:hint="eastAsia"/>
                <w:kern w:val="0"/>
                <w:sz w:val="23"/>
                <w:szCs w:val="23"/>
              </w:rPr>
              <w:t>2</w:t>
            </w:r>
            <w:r>
              <w:rPr>
                <w:rFonts w:ascii="宋体" w:eastAsia="仿宋_GB2312" w:hAnsi="Times New Roman" w:cs="Times New Roman" w:hint="eastAsia"/>
                <w:kern w:val="0"/>
                <w:sz w:val="23"/>
                <w:szCs w:val="23"/>
              </w:rPr>
              <w:t>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70" w:lineRule="atLeast"/>
              <w:jc w:val="center"/>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20</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70" w:lineRule="atLeast"/>
              <w:jc w:val="center"/>
              <w:rPr>
                <w:rFonts w:ascii="宋体" w:eastAsia="仿宋_GB2312" w:hAnsi="Times New Roman" w:cs="Times New Roman"/>
                <w:kern w:val="0"/>
                <w:sz w:val="23"/>
                <w:szCs w:val="23"/>
              </w:rPr>
            </w:pPr>
          </w:p>
        </w:tc>
      </w:tr>
      <w:tr w:rsidR="00C312D4" w:rsidRPr="002745FC" w:rsidTr="00136C9E">
        <w:trPr>
          <w:trHeight w:val="217"/>
          <w:jc w:val="center"/>
        </w:trPr>
        <w:tc>
          <w:tcPr>
            <w:tcW w:w="1413" w:type="dxa"/>
            <w:vMerge/>
            <w:tcBorders>
              <w:top w:val="nil"/>
              <w:left w:val="single" w:sz="8" w:space="0" w:color="auto"/>
              <w:bottom w:val="single" w:sz="8"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2835" w:type="dxa"/>
            <w:gridSpan w:val="2"/>
            <w:tcBorders>
              <w:top w:val="nil"/>
              <w:left w:val="nil"/>
              <w:bottom w:val="single" w:sz="8"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报废与处置</w:t>
            </w:r>
          </w:p>
        </w:tc>
        <w:tc>
          <w:tcPr>
            <w:tcW w:w="6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符合报废要求的固定资产审核后按要求及时办理报废手续，报废资产未妥善保管，实物丢失一件扣</w:t>
            </w:r>
            <w:r>
              <w:rPr>
                <w:rFonts w:ascii="宋体" w:eastAsia="仿宋_GB2312" w:hAnsi="Times New Roman" w:cs="Times New Roman"/>
                <w:kern w:val="0"/>
                <w:sz w:val="23"/>
                <w:szCs w:val="23"/>
              </w:rPr>
              <w:t>5</w:t>
            </w:r>
            <w:r w:rsidRPr="002745FC">
              <w:rPr>
                <w:rFonts w:ascii="宋体" w:eastAsia="仿宋_GB2312" w:hAnsi="Times New Roman" w:cs="Times New Roman" w:hint="eastAsia"/>
                <w:kern w:val="0"/>
                <w:sz w:val="23"/>
                <w:szCs w:val="23"/>
              </w:rPr>
              <w:t>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Pr>
                <w:rFonts w:ascii="宋体" w:eastAsia="仿宋_GB2312" w:hAnsi="Times New Roman" w:cs="Times New Roman"/>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770"/>
          <w:jc w:val="center"/>
        </w:trPr>
        <w:tc>
          <w:tcPr>
            <w:tcW w:w="1413" w:type="dxa"/>
            <w:vMerge/>
            <w:tcBorders>
              <w:top w:val="nil"/>
              <w:left w:val="single" w:sz="8" w:space="0" w:color="auto"/>
              <w:bottom w:val="single" w:sz="4" w:space="0" w:color="auto"/>
              <w:right w:val="single" w:sz="8" w:space="0" w:color="auto"/>
            </w:tcBorders>
            <w:vAlign w:val="center"/>
            <w:hideMark/>
          </w:tcPr>
          <w:p w:rsidR="00C312D4" w:rsidRPr="002745FC" w:rsidRDefault="00C312D4" w:rsidP="00136C9E">
            <w:pPr>
              <w:widowControl/>
              <w:jc w:val="left"/>
              <w:rPr>
                <w:rFonts w:ascii="Times New Roman" w:eastAsia="仿宋_GB2312" w:hAnsi="Times New Roman" w:cs="Times New Roman"/>
                <w:kern w:val="0"/>
                <w:sz w:val="23"/>
                <w:szCs w:val="23"/>
              </w:rPr>
            </w:pPr>
          </w:p>
        </w:tc>
        <w:tc>
          <w:tcPr>
            <w:tcW w:w="2835" w:type="dxa"/>
            <w:gridSpan w:val="2"/>
            <w:tcBorders>
              <w:top w:val="nil"/>
              <w:left w:val="nil"/>
              <w:bottom w:val="single" w:sz="4" w:space="0" w:color="auto"/>
              <w:right w:val="single" w:sz="8" w:space="0" w:color="auto"/>
            </w:tcBorders>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环境卫生与安全</w:t>
            </w:r>
          </w:p>
        </w:tc>
        <w:tc>
          <w:tcPr>
            <w:tcW w:w="696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rPr>
                <w:rFonts w:ascii="Times New Roman" w:eastAsia="仿宋_GB2312" w:hAnsi="Times New Roman" w:cs="Times New Roman"/>
                <w:kern w:val="0"/>
                <w:sz w:val="23"/>
                <w:szCs w:val="23"/>
              </w:rPr>
            </w:pPr>
            <w:r w:rsidRPr="002745FC">
              <w:rPr>
                <w:rFonts w:ascii="宋体" w:eastAsia="仿宋_GB2312" w:hAnsi="Times New Roman" w:cs="Times New Roman" w:hint="eastAsia"/>
                <w:kern w:val="0"/>
                <w:sz w:val="23"/>
                <w:szCs w:val="23"/>
              </w:rPr>
              <w:t>环境不整洁，摆放混乱，扣</w:t>
            </w:r>
            <w:r w:rsidRPr="002745FC">
              <w:rPr>
                <w:rFonts w:ascii="宋体" w:eastAsia="仿宋_GB2312" w:hAnsi="Times New Roman" w:cs="Times New Roman" w:hint="eastAsia"/>
                <w:kern w:val="0"/>
                <w:sz w:val="23"/>
                <w:szCs w:val="23"/>
              </w:rPr>
              <w:t>1</w:t>
            </w:r>
            <w:r w:rsidRPr="002745FC">
              <w:rPr>
                <w:rFonts w:ascii="宋体" w:eastAsia="仿宋_GB2312" w:hAnsi="Times New Roman" w:cs="Times New Roman" w:hint="eastAsia"/>
                <w:kern w:val="0"/>
                <w:sz w:val="23"/>
                <w:szCs w:val="23"/>
              </w:rPr>
              <w:t>分；存在安全隐患有一项扣</w:t>
            </w:r>
            <w:r w:rsidRPr="002745FC">
              <w:rPr>
                <w:rFonts w:ascii="宋体" w:eastAsia="仿宋_GB2312" w:hAnsi="Times New Roman" w:cs="Times New Roman" w:hint="eastAsia"/>
                <w:kern w:val="0"/>
                <w:sz w:val="23"/>
                <w:szCs w:val="23"/>
              </w:rPr>
              <w:t>2</w:t>
            </w:r>
            <w:r w:rsidRPr="002745FC">
              <w:rPr>
                <w:rFonts w:ascii="宋体" w:eastAsia="仿宋_GB2312" w:hAnsi="Times New Roman" w:cs="Times New Roman" w:hint="eastAsia"/>
                <w:kern w:val="0"/>
                <w:sz w:val="23"/>
                <w:szCs w:val="23"/>
              </w:rPr>
              <w:t>分；危险品的警示、重大设备操作规程少一项扣</w:t>
            </w:r>
            <w:r w:rsidRPr="002745FC">
              <w:rPr>
                <w:rFonts w:ascii="宋体" w:eastAsia="仿宋_GB2312" w:hAnsi="Times New Roman" w:cs="Times New Roman" w:hint="eastAsia"/>
                <w:kern w:val="0"/>
                <w:sz w:val="23"/>
                <w:szCs w:val="23"/>
              </w:rPr>
              <w:t>1</w:t>
            </w:r>
            <w:r w:rsidRPr="002745FC">
              <w:rPr>
                <w:rFonts w:ascii="宋体" w:eastAsia="仿宋_GB2312" w:hAnsi="Times New Roman" w:cs="Times New Roman" w:hint="eastAsia"/>
                <w:kern w:val="0"/>
                <w:sz w:val="23"/>
                <w:szCs w:val="23"/>
              </w:rPr>
              <w:t>分；因管理责任导致资产丢失本项不得分。</w:t>
            </w:r>
          </w:p>
        </w:tc>
        <w:tc>
          <w:tcPr>
            <w:tcW w:w="8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312D4" w:rsidRPr="002745FC" w:rsidRDefault="00C312D4" w:rsidP="00136C9E">
            <w:pPr>
              <w:widowControl/>
              <w:spacing w:line="360" w:lineRule="atLeast"/>
              <w:jc w:val="center"/>
              <w:rPr>
                <w:rFonts w:ascii="Times New Roman" w:eastAsia="仿宋_GB2312" w:hAnsi="Times New Roman" w:cs="Times New Roman"/>
                <w:kern w:val="0"/>
                <w:sz w:val="23"/>
                <w:szCs w:val="23"/>
              </w:rPr>
            </w:pPr>
            <w:r>
              <w:rPr>
                <w:rFonts w:ascii="宋体" w:eastAsia="仿宋_GB2312" w:hAnsi="Times New Roman" w:cs="Times New Roman"/>
                <w:kern w:val="0"/>
                <w:sz w:val="23"/>
                <w:szCs w:val="23"/>
              </w:rPr>
              <w:t>5</w:t>
            </w:r>
            <w:r w:rsidRPr="002745FC">
              <w:rPr>
                <w:rFonts w:ascii="宋体" w:eastAsia="仿宋_GB2312" w:hAnsi="Times New Roman" w:cs="Times New Roman" w:hint="eastAsia"/>
                <w:kern w:val="0"/>
                <w:sz w:val="23"/>
                <w:szCs w:val="23"/>
              </w:rPr>
              <w:t>分</w:t>
            </w:r>
          </w:p>
        </w:tc>
        <w:tc>
          <w:tcPr>
            <w:tcW w:w="1696" w:type="dxa"/>
            <w:tcBorders>
              <w:top w:val="nil"/>
              <w:left w:val="nil"/>
              <w:bottom w:val="single" w:sz="4" w:space="0" w:color="auto"/>
              <w:right w:val="single" w:sz="8"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r w:rsidR="00C312D4" w:rsidRPr="002745FC" w:rsidTr="00136C9E">
        <w:trPr>
          <w:trHeight w:val="770"/>
          <w:jc w:val="center"/>
        </w:trPr>
        <w:tc>
          <w:tcPr>
            <w:tcW w:w="4248" w:type="dxa"/>
            <w:gridSpan w:val="3"/>
            <w:tcBorders>
              <w:top w:val="single" w:sz="4" w:space="0" w:color="auto"/>
              <w:left w:val="single" w:sz="4" w:space="0" w:color="auto"/>
              <w:bottom w:val="single" w:sz="4" w:space="0" w:color="auto"/>
              <w:right w:val="single" w:sz="4" w:space="0" w:color="auto"/>
            </w:tcBorders>
            <w:vAlign w:val="center"/>
          </w:tcPr>
          <w:p w:rsidR="00C312D4" w:rsidRPr="002745FC" w:rsidRDefault="00C312D4" w:rsidP="00136C9E">
            <w:pPr>
              <w:widowControl/>
              <w:spacing w:line="360" w:lineRule="atLeast"/>
              <w:rPr>
                <w:rFonts w:ascii="宋体" w:eastAsia="仿宋_GB2312" w:hAnsi="Times New Roman" w:cs="Times New Roman"/>
                <w:kern w:val="0"/>
                <w:sz w:val="23"/>
                <w:szCs w:val="23"/>
              </w:rPr>
            </w:pPr>
            <w:r>
              <w:rPr>
                <w:rFonts w:ascii="宋体" w:eastAsia="仿宋_GB2312" w:hAnsi="Times New Roman" w:cs="Times New Roman" w:hint="eastAsia"/>
                <w:kern w:val="0"/>
                <w:sz w:val="23"/>
                <w:szCs w:val="23"/>
              </w:rPr>
              <w:t>资产管理工作建议：</w:t>
            </w:r>
          </w:p>
        </w:tc>
        <w:tc>
          <w:tcPr>
            <w:tcW w:w="6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12D4" w:rsidRPr="002745FC" w:rsidRDefault="00C312D4" w:rsidP="00136C9E">
            <w:pPr>
              <w:widowControl/>
              <w:spacing w:line="360" w:lineRule="atLeast"/>
              <w:rPr>
                <w:rFonts w:ascii="宋体" w:eastAsia="仿宋_GB2312" w:hAnsi="Times New Roman" w:cs="Times New Roman"/>
                <w:kern w:val="0"/>
                <w:sz w:val="23"/>
                <w:szCs w:val="23"/>
              </w:rPr>
            </w:pPr>
          </w:p>
        </w:tc>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12D4" w:rsidRDefault="00C312D4" w:rsidP="00136C9E">
            <w:pPr>
              <w:widowControl/>
              <w:spacing w:line="360" w:lineRule="atLeast"/>
              <w:rPr>
                <w:rFonts w:ascii="宋体" w:eastAsia="仿宋_GB2312" w:hAnsi="Times New Roman" w:cs="Times New Roman"/>
                <w:kern w:val="0"/>
                <w:sz w:val="23"/>
                <w:szCs w:val="23"/>
              </w:rPr>
            </w:pPr>
            <w:r>
              <w:rPr>
                <w:rFonts w:ascii="宋体" w:eastAsia="仿宋_GB2312" w:hAnsi="Times New Roman" w:cs="Times New Roman"/>
                <w:kern w:val="0"/>
                <w:sz w:val="23"/>
                <w:szCs w:val="23"/>
              </w:rPr>
              <w:t>合计：</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12D4" w:rsidRPr="002745FC" w:rsidRDefault="00C312D4" w:rsidP="00136C9E">
            <w:pPr>
              <w:widowControl/>
              <w:spacing w:line="360" w:lineRule="atLeast"/>
              <w:jc w:val="center"/>
              <w:rPr>
                <w:rFonts w:ascii="宋体" w:eastAsia="仿宋_GB2312" w:hAnsi="Times New Roman" w:cs="Times New Roman"/>
                <w:kern w:val="0"/>
                <w:sz w:val="23"/>
                <w:szCs w:val="23"/>
              </w:rPr>
            </w:pPr>
          </w:p>
        </w:tc>
      </w:tr>
    </w:tbl>
    <w:p w:rsidR="00C312D4" w:rsidRDefault="00C312D4" w:rsidP="00C312D4">
      <w:pPr>
        <w:rPr>
          <w:rFonts w:ascii="仿宋_GB2312"/>
          <w:szCs w:val="32"/>
        </w:rPr>
      </w:pPr>
      <w:r>
        <w:rPr>
          <w:rFonts w:ascii="仿宋_GB2312" w:hint="eastAsia"/>
          <w:szCs w:val="32"/>
        </w:rPr>
        <w:t>1.</w:t>
      </w:r>
      <w:r>
        <w:rPr>
          <w:rFonts w:ascii="仿宋_GB2312" w:hint="eastAsia"/>
          <w:szCs w:val="32"/>
        </w:rPr>
        <w:t>设备利用率</w:t>
      </w:r>
      <w:r>
        <w:rPr>
          <w:rFonts w:ascii="仿宋_GB2312" w:hint="eastAsia"/>
          <w:szCs w:val="32"/>
        </w:rPr>
        <w:t>=</w:t>
      </w:r>
      <w:r>
        <w:rPr>
          <w:rFonts w:ascii="仿宋_GB2312" w:hint="eastAsia"/>
          <w:szCs w:val="32"/>
        </w:rPr>
        <w:t>实际开出的实验人时数÷实验计划开出的人时数。</w:t>
      </w:r>
    </w:p>
    <w:p w:rsidR="00C312D4" w:rsidRDefault="00C312D4" w:rsidP="00C312D4">
      <w:pPr>
        <w:rPr>
          <w:rFonts w:ascii="仿宋_GB2312"/>
          <w:szCs w:val="32"/>
        </w:rPr>
      </w:pPr>
      <w:r>
        <w:rPr>
          <w:rFonts w:ascii="仿宋_GB2312" w:hint="eastAsia"/>
          <w:szCs w:val="32"/>
        </w:rPr>
        <w:t>2.</w:t>
      </w:r>
      <w:r>
        <w:rPr>
          <w:rFonts w:ascii="仿宋_GB2312" w:hint="eastAsia"/>
          <w:szCs w:val="32"/>
        </w:rPr>
        <w:t>实验计划开出的人时数：是指正常教学时间内，在实验室内所有设备（按设备套数计算而不能按单一的设备台、件数计算，一套设备由完成实验所需的一到多台、件组成，附属设备如“空调”等可不算在内）理论上都完好的情况下，实验计划规定开出的人时数。如实验中出现多人为一组同时利用一套设备完成实验的，一组按一个人时数算（即以组学时数为准）。</w:t>
      </w:r>
    </w:p>
    <w:p w:rsidR="00C312D4" w:rsidRPr="001A31C1" w:rsidRDefault="00C312D4" w:rsidP="00C312D4">
      <w:pPr>
        <w:rPr>
          <w:rFonts w:ascii="仿宋_GB2312"/>
          <w:szCs w:val="32"/>
        </w:rPr>
      </w:pPr>
      <w:r>
        <w:rPr>
          <w:rFonts w:ascii="仿宋_GB2312" w:hint="eastAsia"/>
          <w:szCs w:val="32"/>
        </w:rPr>
        <w:t>3.</w:t>
      </w:r>
      <w:r>
        <w:rPr>
          <w:rFonts w:ascii="仿宋_GB2312" w:hint="eastAsia"/>
          <w:szCs w:val="32"/>
        </w:rPr>
        <w:t>实际开出的实验人时数：是指实际工作中所有利用实验室设备完成实验的人时数总数，包括正常教学时间及课余时间内所有正常实验教学、实验室开放、实验室加班、各种竞赛活动等利用到设备完成实验的实际人时数总和。</w:t>
      </w:r>
    </w:p>
    <w:p w:rsidR="00C7658B" w:rsidRPr="00C312D4" w:rsidRDefault="00C312D4"/>
    <w:sectPr w:rsidR="00C7658B" w:rsidRPr="00C312D4" w:rsidSect="00C312D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D4"/>
    <w:rsid w:val="0010668F"/>
    <w:rsid w:val="009F2166"/>
    <w:rsid w:val="00C3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7F90F-BE15-46D5-A49D-3775EEFE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2022-12-30T03:30:00Z</dcterms:created>
  <dcterms:modified xsi:type="dcterms:W3CDTF">2022-12-30T03:32:00Z</dcterms:modified>
</cp:coreProperties>
</file>